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268F2D5D" w14:textId="0D59AD9A" w:rsidR="00725AB1" w:rsidRPr="007F2F38" w:rsidRDefault="007F2F38" w:rsidP="00DD6123">
      <w:pPr>
        <w:pStyle w:val="NoSpacing"/>
        <w:rPr>
          <w:rFonts w:ascii="Times New Roman" w:hAnsi="Times New Roman" w:cs="Times New Roman"/>
          <w:b/>
          <w:bCs/>
          <w:iCs/>
          <w:spacing w:val="20"/>
        </w:rPr>
      </w:pPr>
      <w:r w:rsidRPr="007F2F38">
        <w:rPr>
          <w:rFonts w:ascii="Times New Roman" w:hAnsi="Times New Roman" w:cs="Times New Roman"/>
          <w:b/>
          <w:bCs/>
        </w:rPr>
        <w:t>INDUSTRY SPECIFIC – RETAIL INDUSTRY</w:t>
      </w:r>
      <w:r w:rsidRPr="007F2F38">
        <w:rPr>
          <w:rFonts w:ascii="Times New Roman" w:hAnsi="Times New Roman" w:cs="Times New Roman"/>
          <w:b/>
          <w:bCs/>
          <w:iCs/>
          <w:spacing w:val="20"/>
        </w:rPr>
        <w:t xml:space="preserve"> EXPERIENCE </w:t>
      </w:r>
    </w:p>
    <w:p w14:paraId="2CE494C9" w14:textId="6C0FD011" w:rsidR="007F2F38" w:rsidRPr="007F2F38" w:rsidRDefault="007F2F38" w:rsidP="007F2F38">
      <w:pPr>
        <w:tabs>
          <w:tab w:val="right" w:pos="10350"/>
        </w:tabs>
        <w:spacing w:before="360" w:after="240" w:line="276" w:lineRule="auto"/>
        <w:rPr>
          <w:rFonts w:ascii="Times New Roman" w:hAnsi="Times New Roman" w:cs="Times New Roman"/>
        </w:rPr>
      </w:pPr>
      <w:r w:rsidRPr="007F2F38">
        <w:rPr>
          <w:rFonts w:ascii="Times New Roman" w:hAnsi="Times New Roman" w:cs="Times New Roman"/>
        </w:rPr>
        <w:t>Experienced financial executive with comprehensive expertise in retail operations, and multi-channel sales environments. Proven ability to drive financial performance, optimize inventory and supply chain economics, and support scalable expansion in competitive markets. Skilled at enhancing cash flow management, risk mitigation, and aligning finance with customer-centric growth strategies.</w:t>
      </w:r>
    </w:p>
    <w:p w14:paraId="44EEF145" w14:textId="77777777" w:rsidR="007F2F38" w:rsidRDefault="007F2F38" w:rsidP="007F2F38">
      <w:pPr>
        <w:pStyle w:val="NoSpacing"/>
        <w:rPr>
          <w:rFonts w:ascii="Times New Roman" w:hAnsi="Times New Roman" w:cs="Times New Roman"/>
          <w:b/>
          <w:bCs/>
        </w:rPr>
      </w:pPr>
      <w:r w:rsidRPr="007F2F38">
        <w:rPr>
          <w:rFonts w:ascii="Times New Roman" w:hAnsi="Times New Roman" w:cs="Times New Roman"/>
          <w:b/>
          <w:bCs/>
        </w:rPr>
        <w:t>Core Responsibilities and Achievements</w:t>
      </w:r>
    </w:p>
    <w:p w14:paraId="09298247" w14:textId="77777777" w:rsidR="007F2F38" w:rsidRPr="007F2F38" w:rsidRDefault="007F2F38" w:rsidP="007F2F38">
      <w:pPr>
        <w:pStyle w:val="NoSpacing"/>
        <w:rPr>
          <w:rFonts w:ascii="Times New Roman" w:hAnsi="Times New Roman" w:cs="Times New Roman"/>
          <w:b/>
          <w:bCs/>
        </w:rPr>
      </w:pPr>
    </w:p>
    <w:p w14:paraId="1DAABD02" w14:textId="77777777" w:rsidR="007F2F38" w:rsidRPr="007F2F38" w:rsidRDefault="007F2F38" w:rsidP="007F2F38">
      <w:pPr>
        <w:pStyle w:val="NoSpacing"/>
        <w:ind w:left="360"/>
        <w:rPr>
          <w:rFonts w:ascii="Times New Roman" w:hAnsi="Times New Roman" w:cs="Times New Roman"/>
          <w:b/>
          <w:bCs/>
        </w:rPr>
      </w:pPr>
      <w:r w:rsidRPr="007F2F38">
        <w:rPr>
          <w:rFonts w:ascii="Times New Roman" w:hAnsi="Times New Roman" w:cs="Times New Roman"/>
          <w:b/>
          <w:bCs/>
        </w:rPr>
        <w:t>Strategic Financial Leadership &amp; Growth Management</w:t>
      </w:r>
    </w:p>
    <w:p w14:paraId="3A21C081" w14:textId="77777777" w:rsidR="007F2F38" w:rsidRPr="007F2F38" w:rsidRDefault="007F2F38" w:rsidP="007F2F38">
      <w:pPr>
        <w:pStyle w:val="NoSpacing"/>
        <w:numPr>
          <w:ilvl w:val="0"/>
          <w:numId w:val="67"/>
        </w:numPr>
        <w:rPr>
          <w:rFonts w:ascii="Times New Roman" w:hAnsi="Times New Roman" w:cs="Times New Roman"/>
        </w:rPr>
      </w:pPr>
      <w:r w:rsidRPr="007F2F38">
        <w:rPr>
          <w:rFonts w:ascii="Times New Roman" w:hAnsi="Times New Roman" w:cs="Times New Roman"/>
        </w:rPr>
        <w:t>Developed and implemented financial strategies supporting retail expansion, omnichannel integration, and new product launches.</w:t>
      </w:r>
    </w:p>
    <w:p w14:paraId="3BE2F958" w14:textId="3FEFC003" w:rsidR="007F2F38" w:rsidRPr="007F2F38" w:rsidRDefault="007F2F38" w:rsidP="007F2F38">
      <w:pPr>
        <w:pStyle w:val="NoSpacing"/>
        <w:numPr>
          <w:ilvl w:val="0"/>
          <w:numId w:val="67"/>
        </w:numPr>
        <w:rPr>
          <w:rFonts w:ascii="Times New Roman" w:hAnsi="Times New Roman" w:cs="Times New Roman"/>
        </w:rPr>
      </w:pPr>
      <w:r w:rsidRPr="007F2F38">
        <w:rPr>
          <w:rFonts w:ascii="Times New Roman" w:hAnsi="Times New Roman" w:cs="Times New Roman"/>
        </w:rPr>
        <w:t>Managed multi-site budgeting, forecasting, and P&amp;L oversight for store networks generating $</w:t>
      </w:r>
      <w:r>
        <w:rPr>
          <w:rFonts w:ascii="Times New Roman" w:hAnsi="Times New Roman" w:cs="Times New Roman"/>
        </w:rPr>
        <w:t>1</w:t>
      </w:r>
      <w:r w:rsidRPr="007F2F38">
        <w:rPr>
          <w:rFonts w:ascii="Times New Roman" w:hAnsi="Times New Roman" w:cs="Times New Roman"/>
        </w:rPr>
        <w:t>00M+ revenue.</w:t>
      </w:r>
    </w:p>
    <w:p w14:paraId="0D846EB4" w14:textId="77777777" w:rsidR="007F2F38" w:rsidRPr="007F2F38" w:rsidRDefault="007F2F38" w:rsidP="007F2F38">
      <w:pPr>
        <w:pStyle w:val="NoSpacing"/>
        <w:numPr>
          <w:ilvl w:val="0"/>
          <w:numId w:val="67"/>
        </w:numPr>
        <w:rPr>
          <w:rFonts w:ascii="Times New Roman" w:hAnsi="Times New Roman" w:cs="Times New Roman"/>
        </w:rPr>
      </w:pPr>
      <w:r w:rsidRPr="007F2F38">
        <w:rPr>
          <w:rFonts w:ascii="Times New Roman" w:hAnsi="Times New Roman" w:cs="Times New Roman"/>
        </w:rPr>
        <w:t>Delivered a 12% increase in net profit margins by optimizing pricing, reducing shrinkage, and rationalizing SKU assortments.</w:t>
      </w:r>
    </w:p>
    <w:p w14:paraId="2C9798AD" w14:textId="77777777" w:rsidR="007F2F38" w:rsidRPr="007F2F38" w:rsidRDefault="007F2F38" w:rsidP="007F2F38">
      <w:pPr>
        <w:pStyle w:val="NoSpacing"/>
        <w:ind w:left="360"/>
        <w:rPr>
          <w:rFonts w:ascii="Times New Roman" w:hAnsi="Times New Roman" w:cs="Times New Roman"/>
          <w:b/>
          <w:bCs/>
        </w:rPr>
      </w:pPr>
      <w:r w:rsidRPr="007F2F38">
        <w:rPr>
          <w:rFonts w:ascii="Times New Roman" w:hAnsi="Times New Roman" w:cs="Times New Roman"/>
          <w:b/>
          <w:bCs/>
        </w:rPr>
        <w:t>Retail Operations Finance &amp; Cost Control</w:t>
      </w:r>
    </w:p>
    <w:p w14:paraId="4EC901E8" w14:textId="77777777" w:rsidR="007F2F38" w:rsidRPr="007F2F38" w:rsidRDefault="007F2F38" w:rsidP="007F2F38">
      <w:pPr>
        <w:pStyle w:val="NoSpacing"/>
        <w:numPr>
          <w:ilvl w:val="0"/>
          <w:numId w:val="68"/>
        </w:numPr>
        <w:rPr>
          <w:rFonts w:ascii="Times New Roman" w:hAnsi="Times New Roman" w:cs="Times New Roman"/>
        </w:rPr>
      </w:pPr>
      <w:r w:rsidRPr="007F2F38">
        <w:rPr>
          <w:rFonts w:ascii="Times New Roman" w:hAnsi="Times New Roman" w:cs="Times New Roman"/>
        </w:rPr>
        <w:t>Partnered with merchandising and supply chain teams to align inventory management with financial goals, reducing stockouts and excess inventory by 18%.</w:t>
      </w:r>
    </w:p>
    <w:p w14:paraId="105B120D" w14:textId="77777777" w:rsidR="007F2F38" w:rsidRPr="007F2F38" w:rsidRDefault="007F2F38" w:rsidP="007F2F38">
      <w:pPr>
        <w:pStyle w:val="NoSpacing"/>
        <w:numPr>
          <w:ilvl w:val="0"/>
          <w:numId w:val="68"/>
        </w:numPr>
        <w:rPr>
          <w:rFonts w:ascii="Times New Roman" w:hAnsi="Times New Roman" w:cs="Times New Roman"/>
        </w:rPr>
      </w:pPr>
      <w:r w:rsidRPr="007F2F38">
        <w:rPr>
          <w:rFonts w:ascii="Times New Roman" w:hAnsi="Times New Roman" w:cs="Times New Roman"/>
        </w:rPr>
        <w:t>Established cost controls and vendor negotiation strategies that led to a 10% reduction in operational expenses.</w:t>
      </w:r>
    </w:p>
    <w:p w14:paraId="10D03E5D" w14:textId="77777777" w:rsidR="007F2F38" w:rsidRPr="007F2F38" w:rsidRDefault="007F2F38" w:rsidP="007F2F38">
      <w:pPr>
        <w:pStyle w:val="NoSpacing"/>
        <w:numPr>
          <w:ilvl w:val="0"/>
          <w:numId w:val="68"/>
        </w:numPr>
        <w:rPr>
          <w:rFonts w:ascii="Times New Roman" w:hAnsi="Times New Roman" w:cs="Times New Roman"/>
        </w:rPr>
      </w:pPr>
      <w:r w:rsidRPr="007F2F38">
        <w:rPr>
          <w:rFonts w:ascii="Times New Roman" w:hAnsi="Times New Roman" w:cs="Times New Roman"/>
        </w:rPr>
        <w:t>Implemented advanced financial reporting tools tracking in-store and online sales performance across regions.</w:t>
      </w:r>
    </w:p>
    <w:p w14:paraId="7AA76D89" w14:textId="77777777" w:rsidR="007F2F38" w:rsidRPr="007F2F38" w:rsidRDefault="007F2F38" w:rsidP="007F2F38">
      <w:pPr>
        <w:pStyle w:val="NoSpacing"/>
        <w:ind w:left="360"/>
        <w:rPr>
          <w:rFonts w:ascii="Times New Roman" w:hAnsi="Times New Roman" w:cs="Times New Roman"/>
          <w:b/>
          <w:bCs/>
        </w:rPr>
      </w:pPr>
      <w:r w:rsidRPr="007F2F38">
        <w:rPr>
          <w:rFonts w:ascii="Times New Roman" w:hAnsi="Times New Roman" w:cs="Times New Roman"/>
          <w:b/>
          <w:bCs/>
        </w:rPr>
        <w:t>Compliance, Risk Management &amp; Financial Controls</w:t>
      </w:r>
    </w:p>
    <w:p w14:paraId="04220A6C" w14:textId="20FC15FF" w:rsidR="007F2F38" w:rsidRPr="007F2F38" w:rsidRDefault="007F2F38" w:rsidP="007F2F38">
      <w:pPr>
        <w:pStyle w:val="NoSpacing"/>
        <w:numPr>
          <w:ilvl w:val="0"/>
          <w:numId w:val="70"/>
        </w:numPr>
        <w:rPr>
          <w:rFonts w:ascii="Times New Roman" w:hAnsi="Times New Roman" w:cs="Times New Roman"/>
        </w:rPr>
      </w:pPr>
      <w:r w:rsidRPr="007F2F38">
        <w:rPr>
          <w:rFonts w:ascii="Times New Roman" w:hAnsi="Times New Roman" w:cs="Times New Roman"/>
        </w:rPr>
        <w:t>Ensured compliance with retail industry regulations, tax requirements.</w:t>
      </w:r>
    </w:p>
    <w:p w14:paraId="28F68935" w14:textId="01E48951" w:rsidR="007F2F38" w:rsidRPr="007F2F38" w:rsidRDefault="007F2F38" w:rsidP="007F2F38">
      <w:pPr>
        <w:pStyle w:val="NoSpacing"/>
        <w:numPr>
          <w:ilvl w:val="0"/>
          <w:numId w:val="70"/>
        </w:numPr>
        <w:rPr>
          <w:rFonts w:ascii="Times New Roman" w:hAnsi="Times New Roman" w:cs="Times New Roman"/>
        </w:rPr>
      </w:pPr>
      <w:r w:rsidRPr="007F2F38">
        <w:rPr>
          <w:rFonts w:ascii="Times New Roman" w:hAnsi="Times New Roman" w:cs="Times New Roman"/>
        </w:rPr>
        <w:t>Oversaw internal controls to prevent fraud, inventory shrinkage, and financial misstatement across corporate.</w:t>
      </w:r>
    </w:p>
    <w:p w14:paraId="14FA8408" w14:textId="77777777" w:rsidR="007F2F38" w:rsidRPr="007F2F38" w:rsidRDefault="007F2F38" w:rsidP="007F2F38">
      <w:pPr>
        <w:pStyle w:val="NoSpacing"/>
        <w:numPr>
          <w:ilvl w:val="0"/>
          <w:numId w:val="70"/>
        </w:numPr>
        <w:rPr>
          <w:rFonts w:ascii="Times New Roman" w:hAnsi="Times New Roman" w:cs="Times New Roman"/>
        </w:rPr>
      </w:pPr>
      <w:r w:rsidRPr="007F2F38">
        <w:rPr>
          <w:rFonts w:ascii="Times New Roman" w:hAnsi="Times New Roman" w:cs="Times New Roman"/>
        </w:rPr>
        <w:t>Developed contingency plans for economic downturns, supply disruptions, and seasonal demand fluctuations.</w:t>
      </w:r>
    </w:p>
    <w:p w14:paraId="69A7EF36" w14:textId="77777777" w:rsidR="007F2F38" w:rsidRPr="007F2F38" w:rsidRDefault="007F2F38" w:rsidP="007F2F38">
      <w:pPr>
        <w:pStyle w:val="NoSpacing"/>
        <w:ind w:left="360"/>
        <w:rPr>
          <w:rFonts w:ascii="Times New Roman" w:hAnsi="Times New Roman" w:cs="Times New Roman"/>
          <w:b/>
          <w:bCs/>
        </w:rPr>
      </w:pPr>
      <w:r w:rsidRPr="007F2F38">
        <w:rPr>
          <w:rFonts w:ascii="Times New Roman" w:hAnsi="Times New Roman" w:cs="Times New Roman"/>
          <w:b/>
          <w:bCs/>
        </w:rPr>
        <w:t>Technology Integration &amp; Process Optimization</w:t>
      </w:r>
    </w:p>
    <w:p w14:paraId="6A90CF52" w14:textId="77777777" w:rsidR="007F2F38" w:rsidRPr="007F2F38" w:rsidRDefault="007F2F38" w:rsidP="007F2F38">
      <w:pPr>
        <w:pStyle w:val="NoSpacing"/>
        <w:numPr>
          <w:ilvl w:val="0"/>
          <w:numId w:val="71"/>
        </w:numPr>
        <w:rPr>
          <w:rFonts w:ascii="Times New Roman" w:hAnsi="Times New Roman" w:cs="Times New Roman"/>
        </w:rPr>
      </w:pPr>
      <w:r w:rsidRPr="007F2F38">
        <w:rPr>
          <w:rFonts w:ascii="Times New Roman" w:hAnsi="Times New Roman" w:cs="Times New Roman"/>
        </w:rPr>
        <w:t>Led ERP and retail POS system integrations supporting consolidated financial reporting and improved data accuracy.</w:t>
      </w:r>
    </w:p>
    <w:p w14:paraId="506E5B6C" w14:textId="77777777" w:rsidR="007F2F38" w:rsidRPr="007F2F38" w:rsidRDefault="007F2F38" w:rsidP="007F2F38">
      <w:pPr>
        <w:pStyle w:val="NoSpacing"/>
        <w:numPr>
          <w:ilvl w:val="0"/>
          <w:numId w:val="71"/>
        </w:numPr>
        <w:rPr>
          <w:rFonts w:ascii="Times New Roman" w:hAnsi="Times New Roman" w:cs="Times New Roman"/>
        </w:rPr>
      </w:pPr>
      <w:r w:rsidRPr="007F2F38">
        <w:rPr>
          <w:rFonts w:ascii="Times New Roman" w:hAnsi="Times New Roman" w:cs="Times New Roman"/>
        </w:rPr>
        <w:t>Automated billing, collections, and payroll processes to reduce administrative overhead and errors.</w:t>
      </w:r>
    </w:p>
    <w:p w14:paraId="34B627E2" w14:textId="77777777" w:rsidR="007F2F38" w:rsidRPr="007F2F38" w:rsidRDefault="007F2F38" w:rsidP="007F2F38">
      <w:pPr>
        <w:pStyle w:val="NoSpacing"/>
        <w:numPr>
          <w:ilvl w:val="0"/>
          <w:numId w:val="71"/>
        </w:numPr>
        <w:rPr>
          <w:rFonts w:ascii="Times New Roman" w:hAnsi="Times New Roman" w:cs="Times New Roman"/>
        </w:rPr>
      </w:pPr>
      <w:r w:rsidRPr="007F2F38">
        <w:rPr>
          <w:rFonts w:ascii="Times New Roman" w:hAnsi="Times New Roman" w:cs="Times New Roman"/>
        </w:rPr>
        <w:t>Implemented real-time financial dashboards for store managers and corporate leadership, enhancing decision making.</w:t>
      </w:r>
    </w:p>
    <w:p w14:paraId="08833C27" w14:textId="77777777" w:rsidR="007F2F38" w:rsidRDefault="007F2F38" w:rsidP="007F2F38">
      <w:pPr>
        <w:pStyle w:val="NoSpacing"/>
        <w:rPr>
          <w:rFonts w:ascii="Times New Roman" w:hAnsi="Times New Roman" w:cs="Times New Roman"/>
        </w:rPr>
      </w:pPr>
    </w:p>
    <w:p w14:paraId="0827C320" w14:textId="77777777" w:rsidR="007F2F38" w:rsidRDefault="007F2F38" w:rsidP="007F2F38">
      <w:pPr>
        <w:pStyle w:val="NoSpacing"/>
        <w:rPr>
          <w:rFonts w:ascii="Times New Roman" w:hAnsi="Times New Roman" w:cs="Times New Roman"/>
        </w:rPr>
      </w:pPr>
    </w:p>
    <w:p w14:paraId="5D2432B1" w14:textId="165D2E05" w:rsidR="007F2F38" w:rsidRPr="007F2F38" w:rsidRDefault="007F2F38" w:rsidP="007F2F38">
      <w:pPr>
        <w:pStyle w:val="NoSpacing"/>
        <w:rPr>
          <w:rFonts w:ascii="Times New Roman" w:hAnsi="Times New Roman" w:cs="Times New Roman"/>
          <w:b/>
          <w:bCs/>
        </w:rPr>
      </w:pPr>
      <w:r w:rsidRPr="007F2F38">
        <w:rPr>
          <w:rFonts w:ascii="Times New Roman" w:hAnsi="Times New Roman" w:cs="Times New Roman"/>
          <w:b/>
          <w:bCs/>
        </w:rPr>
        <w:lastRenderedPageBreak/>
        <w:t>Key Items Ac</w:t>
      </w:r>
      <w:r>
        <w:rPr>
          <w:rFonts w:ascii="Times New Roman" w:hAnsi="Times New Roman" w:cs="Times New Roman"/>
          <w:b/>
          <w:bCs/>
        </w:rPr>
        <w:t>hieved</w:t>
      </w:r>
    </w:p>
    <w:p w14:paraId="50B98ABD" w14:textId="77777777"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Align financial planning with merchandising, supply chain, and marketing strategies to drive profitable growth.</w:t>
      </w:r>
    </w:p>
    <w:p w14:paraId="790C57B6" w14:textId="77777777"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Implement inventory and working capital management practices to optimize cash flow and reduce carrying costs.</w:t>
      </w:r>
    </w:p>
    <w:p w14:paraId="698DE643" w14:textId="6C770949"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Develop standardized financial reporting and benchmarking tools for retail units.</w:t>
      </w:r>
    </w:p>
    <w:p w14:paraId="19EC2CEA" w14:textId="6AF898D3"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Ensure strong internal controls and regulatory compliance across retail operations.</w:t>
      </w:r>
    </w:p>
    <w:p w14:paraId="1483C97A" w14:textId="77777777"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Leverage technology to automate financial processes and improve reporting accuracy.</w:t>
      </w:r>
    </w:p>
    <w:p w14:paraId="1ED51734" w14:textId="77777777"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Manage capital raising and investor relations to support expansion and innovation initiatives.</w:t>
      </w:r>
    </w:p>
    <w:p w14:paraId="2D1A765B" w14:textId="77777777"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Develop risk management plans to address market volatility, supply disruptions, and operational risks.</w:t>
      </w:r>
    </w:p>
    <w:p w14:paraId="5CE79493" w14:textId="4BB191DB" w:rsidR="007F2F38" w:rsidRPr="007F2F38" w:rsidRDefault="007F2F38" w:rsidP="007F2F38">
      <w:pPr>
        <w:pStyle w:val="NoSpacing"/>
        <w:numPr>
          <w:ilvl w:val="0"/>
          <w:numId w:val="72"/>
        </w:numPr>
        <w:rPr>
          <w:rFonts w:ascii="Times New Roman" w:hAnsi="Times New Roman" w:cs="Times New Roman"/>
        </w:rPr>
      </w:pPr>
      <w:r w:rsidRPr="007F2F38">
        <w:rPr>
          <w:rFonts w:ascii="Times New Roman" w:hAnsi="Times New Roman" w:cs="Times New Roman"/>
        </w:rPr>
        <w:t>Foster a collaborative cross-functional culture between finance, operations, and sales for ongoing improvement.</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1CA" w14:textId="77777777" w:rsidR="00670D17" w:rsidRDefault="00670D17" w:rsidP="008D4CE4">
      <w:r>
        <w:separator/>
      </w:r>
    </w:p>
  </w:endnote>
  <w:endnote w:type="continuationSeparator" w:id="0">
    <w:p w14:paraId="449FA9FD" w14:textId="77777777" w:rsidR="00670D17" w:rsidRDefault="00670D17"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0701" w14:textId="77777777" w:rsidR="00670D17" w:rsidRDefault="00670D17" w:rsidP="008D4CE4">
      <w:r>
        <w:separator/>
      </w:r>
    </w:p>
  </w:footnote>
  <w:footnote w:type="continuationSeparator" w:id="0">
    <w:p w14:paraId="09483CBB" w14:textId="77777777" w:rsidR="00670D17" w:rsidRDefault="00670D17"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13"/>
    <w:multiLevelType w:val="multilevel"/>
    <w:tmpl w:val="0306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6705C"/>
    <w:multiLevelType w:val="multilevel"/>
    <w:tmpl w:val="796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C5AD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AF551D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8159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DC5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25F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6D074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703C7"/>
    <w:multiLevelType w:val="multilevel"/>
    <w:tmpl w:val="2EDA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2871A6"/>
    <w:multiLevelType w:val="multilevel"/>
    <w:tmpl w:val="69B22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D1F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46"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590A245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2277A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8E13D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AD47C9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45"/>
  </w:num>
  <w:num w:numId="2" w16cid:durableId="315687754">
    <w:abstractNumId w:val="20"/>
  </w:num>
  <w:num w:numId="3" w16cid:durableId="1311054472">
    <w:abstractNumId w:val="21"/>
  </w:num>
  <w:num w:numId="4" w16cid:durableId="481699622">
    <w:abstractNumId w:val="14"/>
  </w:num>
  <w:num w:numId="5" w16cid:durableId="724107415">
    <w:abstractNumId w:val="41"/>
  </w:num>
  <w:num w:numId="6" w16cid:durableId="371998550">
    <w:abstractNumId w:val="8"/>
  </w:num>
  <w:num w:numId="7" w16cid:durableId="314071278">
    <w:abstractNumId w:val="61"/>
  </w:num>
  <w:num w:numId="8" w16cid:durableId="335963737">
    <w:abstractNumId w:val="51"/>
  </w:num>
  <w:num w:numId="9" w16cid:durableId="912206754">
    <w:abstractNumId w:val="66"/>
  </w:num>
  <w:num w:numId="10" w16cid:durableId="1687437025">
    <w:abstractNumId w:val="32"/>
  </w:num>
  <w:num w:numId="11" w16cid:durableId="271596973">
    <w:abstractNumId w:val="27"/>
  </w:num>
  <w:num w:numId="12" w16cid:durableId="1284313859">
    <w:abstractNumId w:val="42"/>
  </w:num>
  <w:num w:numId="13" w16cid:durableId="1159730482">
    <w:abstractNumId w:val="36"/>
  </w:num>
  <w:num w:numId="14" w16cid:durableId="1157260956">
    <w:abstractNumId w:val="9"/>
  </w:num>
  <w:num w:numId="15" w16cid:durableId="892735751">
    <w:abstractNumId w:val="34"/>
  </w:num>
  <w:num w:numId="16" w16cid:durableId="964389522">
    <w:abstractNumId w:val="24"/>
  </w:num>
  <w:num w:numId="17" w16cid:durableId="204102838">
    <w:abstractNumId w:val="15"/>
  </w:num>
  <w:num w:numId="18" w16cid:durableId="1743526006">
    <w:abstractNumId w:val="46"/>
  </w:num>
  <w:num w:numId="19" w16cid:durableId="1378430804">
    <w:abstractNumId w:val="1"/>
  </w:num>
  <w:num w:numId="20" w16cid:durableId="1983192944">
    <w:abstractNumId w:val="69"/>
  </w:num>
  <w:num w:numId="21" w16cid:durableId="657001383">
    <w:abstractNumId w:val="53"/>
  </w:num>
  <w:num w:numId="22" w16cid:durableId="1469398798">
    <w:abstractNumId w:val="37"/>
  </w:num>
  <w:num w:numId="23" w16cid:durableId="709574213">
    <w:abstractNumId w:val="19"/>
  </w:num>
  <w:num w:numId="24" w16cid:durableId="1572351764">
    <w:abstractNumId w:val="54"/>
  </w:num>
  <w:num w:numId="25" w16cid:durableId="1680542650">
    <w:abstractNumId w:val="3"/>
  </w:num>
  <w:num w:numId="26" w16cid:durableId="980037143">
    <w:abstractNumId w:val="59"/>
  </w:num>
  <w:num w:numId="27" w16cid:durableId="1894459764">
    <w:abstractNumId w:val="64"/>
  </w:num>
  <w:num w:numId="28" w16cid:durableId="142548037">
    <w:abstractNumId w:val="44"/>
  </w:num>
  <w:num w:numId="29" w16cid:durableId="269554479">
    <w:abstractNumId w:val="31"/>
  </w:num>
  <w:num w:numId="30" w16cid:durableId="1231160847">
    <w:abstractNumId w:val="25"/>
  </w:num>
  <w:num w:numId="31" w16cid:durableId="524712679">
    <w:abstractNumId w:val="43"/>
  </w:num>
  <w:num w:numId="32" w16cid:durableId="1757701895">
    <w:abstractNumId w:val="40"/>
  </w:num>
  <w:num w:numId="33" w16cid:durableId="820542530">
    <w:abstractNumId w:val="48"/>
  </w:num>
  <w:num w:numId="34" w16cid:durableId="100298284">
    <w:abstractNumId w:val="50"/>
  </w:num>
  <w:num w:numId="35" w16cid:durableId="90200867">
    <w:abstractNumId w:val="5"/>
  </w:num>
  <w:num w:numId="36" w16cid:durableId="1195339500">
    <w:abstractNumId w:val="18"/>
  </w:num>
  <w:num w:numId="37" w16cid:durableId="187566161">
    <w:abstractNumId w:val="10"/>
  </w:num>
  <w:num w:numId="38" w16cid:durableId="872310521">
    <w:abstractNumId w:val="16"/>
  </w:num>
  <w:num w:numId="39" w16cid:durableId="1163592026">
    <w:abstractNumId w:val="39"/>
  </w:num>
  <w:num w:numId="40" w16cid:durableId="1191407939">
    <w:abstractNumId w:val="70"/>
  </w:num>
  <w:num w:numId="41" w16cid:durableId="1410345066">
    <w:abstractNumId w:val="62"/>
  </w:num>
  <w:num w:numId="42" w16cid:durableId="656686030">
    <w:abstractNumId w:val="68"/>
  </w:num>
  <w:num w:numId="43" w16cid:durableId="263921775">
    <w:abstractNumId w:val="4"/>
  </w:num>
  <w:num w:numId="44" w16cid:durableId="1154368848">
    <w:abstractNumId w:val="49"/>
  </w:num>
  <w:num w:numId="45" w16cid:durableId="1450516909">
    <w:abstractNumId w:val="22"/>
  </w:num>
  <w:num w:numId="46" w16cid:durableId="488136758">
    <w:abstractNumId w:val="38"/>
  </w:num>
  <w:num w:numId="47" w16cid:durableId="606040363">
    <w:abstractNumId w:val="47"/>
  </w:num>
  <w:num w:numId="48" w16cid:durableId="11760689">
    <w:abstractNumId w:val="35"/>
  </w:num>
  <w:num w:numId="49" w16cid:durableId="992874562">
    <w:abstractNumId w:val="6"/>
  </w:num>
  <w:num w:numId="50" w16cid:durableId="758018568">
    <w:abstractNumId w:val="52"/>
  </w:num>
  <w:num w:numId="51" w16cid:durableId="149753212">
    <w:abstractNumId w:val="71"/>
  </w:num>
  <w:num w:numId="52" w16cid:durableId="1381438904">
    <w:abstractNumId w:val="55"/>
  </w:num>
  <w:num w:numId="53" w16cid:durableId="2029020650">
    <w:abstractNumId w:val="11"/>
  </w:num>
  <w:num w:numId="54" w16cid:durableId="2049448153">
    <w:abstractNumId w:val="65"/>
  </w:num>
  <w:num w:numId="55" w16cid:durableId="1510676527">
    <w:abstractNumId w:val="63"/>
  </w:num>
  <w:num w:numId="56" w16cid:durableId="323709132">
    <w:abstractNumId w:val="13"/>
  </w:num>
  <w:num w:numId="57" w16cid:durableId="270088248">
    <w:abstractNumId w:val="60"/>
  </w:num>
  <w:num w:numId="58" w16cid:durableId="1183474784">
    <w:abstractNumId w:val="29"/>
  </w:num>
  <w:num w:numId="59" w16cid:durableId="1863713170">
    <w:abstractNumId w:val="2"/>
  </w:num>
  <w:num w:numId="60" w16cid:durableId="1042364863">
    <w:abstractNumId w:val="17"/>
  </w:num>
  <w:num w:numId="61" w16cid:durableId="2123381171">
    <w:abstractNumId w:val="56"/>
  </w:num>
  <w:num w:numId="62" w16cid:durableId="2061245775">
    <w:abstractNumId w:val="12"/>
  </w:num>
  <w:num w:numId="63" w16cid:durableId="503056100">
    <w:abstractNumId w:val="7"/>
  </w:num>
  <w:num w:numId="64" w16cid:durableId="1990942076">
    <w:abstractNumId w:val="28"/>
  </w:num>
  <w:num w:numId="65" w16cid:durableId="2084835084">
    <w:abstractNumId w:val="30"/>
  </w:num>
  <w:num w:numId="66" w16cid:durableId="387533458">
    <w:abstractNumId w:val="0"/>
  </w:num>
  <w:num w:numId="67" w16cid:durableId="1690058837">
    <w:abstractNumId w:val="23"/>
  </w:num>
  <w:num w:numId="68" w16cid:durableId="1430661188">
    <w:abstractNumId w:val="57"/>
  </w:num>
  <w:num w:numId="69" w16cid:durableId="1830751457">
    <w:abstractNumId w:val="33"/>
  </w:num>
  <w:num w:numId="70" w16cid:durableId="725959092">
    <w:abstractNumId w:val="58"/>
  </w:num>
  <w:num w:numId="71" w16cid:durableId="571895406">
    <w:abstractNumId w:val="26"/>
  </w:num>
  <w:num w:numId="72" w16cid:durableId="1894068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0D17"/>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2F38"/>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5FB"/>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3DFC"/>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0D85"/>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689</Words>
  <Characters>4916</Characters>
  <Application>Microsoft Office Word</Application>
  <DocSecurity>0</DocSecurity>
  <Lines>96</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2025-08-09T20:35:00Z</cp:lastPrinted>
  <dcterms:created xsi:type="dcterms:W3CDTF">2025-08-09T20:54:00Z</dcterms:created>
  <dcterms:modified xsi:type="dcterms:W3CDTF">2025-08-09T21:04:00Z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