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268F2D5D" w14:textId="38E5643D" w:rsidR="00725AB1" w:rsidRPr="00697C0C" w:rsidRDefault="00697C0C" w:rsidP="00DD6123">
      <w:pPr>
        <w:pStyle w:val="NoSpacing"/>
        <w:rPr>
          <w:iCs/>
          <w:spacing w:val="20"/>
        </w:rPr>
      </w:pPr>
      <w:r w:rsidRPr="00DD6123">
        <w:rPr>
          <w:b/>
          <w:bCs/>
        </w:rPr>
        <w:t xml:space="preserve">INDUSTRY SPECIFIC – </w:t>
      </w:r>
      <w:r w:rsidR="00330D46">
        <w:rPr>
          <w:b/>
          <w:bCs/>
        </w:rPr>
        <w:t>RECYCLING</w:t>
      </w:r>
      <w:r w:rsidR="00330D46" w:rsidRPr="00DD6123">
        <w:rPr>
          <w:b/>
          <w:bCs/>
        </w:rPr>
        <w:t xml:space="preserve"> (</w:t>
      </w:r>
      <w:r w:rsidR="00330D46">
        <w:rPr>
          <w:b/>
          <w:bCs/>
        </w:rPr>
        <w:t>COMMODITY</w:t>
      </w:r>
      <w:r w:rsidR="00DD6123" w:rsidRPr="00DD6123">
        <w:rPr>
          <w:b/>
          <w:bCs/>
        </w:rPr>
        <w:t>)</w:t>
      </w:r>
      <w:r w:rsidR="00725AB1" w:rsidRPr="00DD6123">
        <w:rPr>
          <w:b/>
          <w:bCs/>
        </w:rPr>
        <w:t xml:space="preserve"> </w:t>
      </w:r>
      <w:r w:rsidRPr="00DD6123">
        <w:rPr>
          <w:b/>
          <w:bCs/>
        </w:rPr>
        <w:t>INDUSTRY</w:t>
      </w:r>
      <w:r w:rsidRPr="00DD6123">
        <w:rPr>
          <w:b/>
          <w:bCs/>
          <w:iCs/>
          <w:spacing w:val="20"/>
        </w:rPr>
        <w:t xml:space="preserve"> EXPERIENCE </w:t>
      </w:r>
    </w:p>
    <w:p w14:paraId="456C0381" w14:textId="77777777" w:rsidR="00330D46" w:rsidRPr="00330D46" w:rsidRDefault="00330D46" w:rsidP="00330D46">
      <w:pPr>
        <w:tabs>
          <w:tab w:val="right" w:pos="10350"/>
        </w:tabs>
        <w:spacing w:before="360" w:after="240" w:line="276" w:lineRule="auto"/>
      </w:pPr>
      <w:r w:rsidRPr="00330D46">
        <w:t>Experienced financial executive with a strong background in the recycling and sustainable materials industry. Skilled in financial planning, operational efficiency, regulatory compliance, and capital management within companies focused on circular economy solutions. Proven ability to lead transformative growth, optimize cost structures, and advance innovation in recycling technologies and services.</w:t>
      </w:r>
    </w:p>
    <w:p w14:paraId="38086F34" w14:textId="77777777" w:rsidR="00330D46" w:rsidRPr="00330D46" w:rsidRDefault="00330D46" w:rsidP="00330D46">
      <w:pPr>
        <w:pStyle w:val="NoSpacing"/>
        <w:rPr>
          <w:rFonts w:ascii="Times New Roman" w:hAnsi="Times New Roman" w:cs="Times New Roman"/>
          <w:b/>
          <w:bCs/>
        </w:rPr>
      </w:pPr>
      <w:r w:rsidRPr="00330D46">
        <w:rPr>
          <w:rFonts w:ascii="Times New Roman" w:hAnsi="Times New Roman" w:cs="Times New Roman"/>
          <w:b/>
          <w:bCs/>
        </w:rPr>
        <w:t>Core Responsibilities and Achievements</w:t>
      </w:r>
    </w:p>
    <w:p w14:paraId="369EF362" w14:textId="77777777" w:rsidR="00330D46" w:rsidRPr="00330D46" w:rsidRDefault="00330D46" w:rsidP="00330D46">
      <w:pPr>
        <w:pStyle w:val="NoSpacing"/>
        <w:ind w:left="720"/>
        <w:rPr>
          <w:rFonts w:ascii="Times New Roman" w:hAnsi="Times New Roman" w:cs="Times New Roman"/>
          <w:b/>
          <w:bCs/>
        </w:rPr>
      </w:pPr>
      <w:r w:rsidRPr="00330D46">
        <w:rPr>
          <w:rFonts w:ascii="Times New Roman" w:hAnsi="Times New Roman" w:cs="Times New Roman"/>
          <w:b/>
          <w:bCs/>
        </w:rPr>
        <w:t>Strategic Financial Leadership</w:t>
      </w:r>
    </w:p>
    <w:p w14:paraId="0AEBDA1C" w14:textId="075700A7" w:rsidR="00330D46" w:rsidRPr="00330D46" w:rsidRDefault="00330D46" w:rsidP="00330D46">
      <w:pPr>
        <w:pStyle w:val="NoSpacing"/>
        <w:numPr>
          <w:ilvl w:val="0"/>
          <w:numId w:val="52"/>
        </w:numPr>
        <w:rPr>
          <w:rFonts w:ascii="Times New Roman" w:hAnsi="Times New Roman" w:cs="Times New Roman"/>
        </w:rPr>
      </w:pPr>
      <w:r w:rsidRPr="00330D46">
        <w:rPr>
          <w:rFonts w:ascii="Times New Roman" w:hAnsi="Times New Roman" w:cs="Times New Roman"/>
        </w:rPr>
        <w:t>Directed multi-site budgeting, forecasting, and financial reporting for recycling operations generating over $</w:t>
      </w:r>
      <w:r>
        <w:rPr>
          <w:rFonts w:ascii="Times New Roman" w:hAnsi="Times New Roman" w:cs="Times New Roman"/>
        </w:rPr>
        <w:t>70</w:t>
      </w:r>
      <w:r w:rsidRPr="00330D46">
        <w:rPr>
          <w:rFonts w:ascii="Times New Roman" w:hAnsi="Times New Roman" w:cs="Times New Roman"/>
        </w:rPr>
        <w:t>M annual revenue.</w:t>
      </w:r>
    </w:p>
    <w:p w14:paraId="151B200B" w14:textId="77777777" w:rsidR="00330D46" w:rsidRPr="00330D46" w:rsidRDefault="00330D46" w:rsidP="00330D46">
      <w:pPr>
        <w:pStyle w:val="NoSpacing"/>
        <w:numPr>
          <w:ilvl w:val="0"/>
          <w:numId w:val="52"/>
        </w:numPr>
        <w:rPr>
          <w:rFonts w:ascii="Times New Roman" w:hAnsi="Times New Roman" w:cs="Times New Roman"/>
        </w:rPr>
      </w:pPr>
      <w:r w:rsidRPr="00330D46">
        <w:rPr>
          <w:rFonts w:ascii="Times New Roman" w:hAnsi="Times New Roman" w:cs="Times New Roman"/>
        </w:rPr>
        <w:t>Developed long-term financial strategies to support investments in automation, process innovations, and geographic expansion.</w:t>
      </w:r>
    </w:p>
    <w:p w14:paraId="4CA8FE7E" w14:textId="11B19819" w:rsidR="00330D46" w:rsidRPr="00330D46" w:rsidRDefault="00330D46" w:rsidP="00330D46">
      <w:pPr>
        <w:pStyle w:val="NoSpacing"/>
        <w:numPr>
          <w:ilvl w:val="0"/>
          <w:numId w:val="52"/>
        </w:numPr>
        <w:rPr>
          <w:rFonts w:ascii="Times New Roman" w:hAnsi="Times New Roman" w:cs="Times New Roman"/>
        </w:rPr>
      </w:pPr>
      <w:r w:rsidRPr="00330D46">
        <w:rPr>
          <w:rFonts w:ascii="Times New Roman" w:hAnsi="Times New Roman" w:cs="Times New Roman"/>
        </w:rPr>
        <w:t>Led financial initiatives that improved EBITDA margins by 1</w:t>
      </w:r>
      <w:r>
        <w:rPr>
          <w:rFonts w:ascii="Times New Roman" w:hAnsi="Times New Roman" w:cs="Times New Roman"/>
        </w:rPr>
        <w:t>5</w:t>
      </w:r>
      <w:r w:rsidRPr="00330D46">
        <w:rPr>
          <w:rFonts w:ascii="Times New Roman" w:hAnsi="Times New Roman" w:cs="Times New Roman"/>
        </w:rPr>
        <w:t>% through cost optimization and revenue diversification.</w:t>
      </w:r>
    </w:p>
    <w:p w14:paraId="0A37FFF8" w14:textId="77777777" w:rsidR="00330D46" w:rsidRPr="00330D46" w:rsidRDefault="00330D46" w:rsidP="00330D46">
      <w:pPr>
        <w:pStyle w:val="NoSpacing"/>
        <w:ind w:left="720"/>
        <w:rPr>
          <w:rFonts w:ascii="Times New Roman" w:hAnsi="Times New Roman" w:cs="Times New Roman"/>
          <w:b/>
          <w:bCs/>
        </w:rPr>
      </w:pPr>
      <w:r w:rsidRPr="00330D46">
        <w:rPr>
          <w:rFonts w:ascii="Times New Roman" w:hAnsi="Times New Roman" w:cs="Times New Roman"/>
          <w:b/>
          <w:bCs/>
        </w:rPr>
        <w:t>Operational Efficiency and Cost Management</w:t>
      </w:r>
    </w:p>
    <w:p w14:paraId="2163788E" w14:textId="77777777" w:rsidR="00330D46" w:rsidRPr="00330D46" w:rsidRDefault="00330D46" w:rsidP="00330D46">
      <w:pPr>
        <w:pStyle w:val="NoSpacing"/>
        <w:numPr>
          <w:ilvl w:val="0"/>
          <w:numId w:val="53"/>
        </w:numPr>
        <w:rPr>
          <w:rFonts w:ascii="Times New Roman" w:hAnsi="Times New Roman" w:cs="Times New Roman"/>
        </w:rPr>
      </w:pPr>
      <w:r w:rsidRPr="00330D46">
        <w:rPr>
          <w:rFonts w:ascii="Times New Roman" w:hAnsi="Times New Roman" w:cs="Times New Roman"/>
        </w:rPr>
        <w:t>Established robust financial controls to minimize scrap loss, lower processing costs, and enhance yield recovery rates.</w:t>
      </w:r>
    </w:p>
    <w:p w14:paraId="0014A08E" w14:textId="77777777" w:rsidR="00330D46" w:rsidRPr="00330D46" w:rsidRDefault="00330D46" w:rsidP="00330D46">
      <w:pPr>
        <w:pStyle w:val="NoSpacing"/>
        <w:numPr>
          <w:ilvl w:val="0"/>
          <w:numId w:val="53"/>
        </w:numPr>
        <w:rPr>
          <w:rFonts w:ascii="Times New Roman" w:hAnsi="Times New Roman" w:cs="Times New Roman"/>
        </w:rPr>
      </w:pPr>
      <w:r w:rsidRPr="00330D46">
        <w:rPr>
          <w:rFonts w:ascii="Times New Roman" w:hAnsi="Times New Roman" w:cs="Times New Roman"/>
        </w:rPr>
        <w:t>Partnered with operations to evaluate capital projects, including facility upgrades and new technology deployments, ensuring strong ROI.</w:t>
      </w:r>
    </w:p>
    <w:p w14:paraId="32600735" w14:textId="77777777" w:rsidR="00330D46" w:rsidRPr="00330D46" w:rsidRDefault="00330D46" w:rsidP="00330D46">
      <w:pPr>
        <w:pStyle w:val="NoSpacing"/>
        <w:numPr>
          <w:ilvl w:val="0"/>
          <w:numId w:val="53"/>
        </w:numPr>
        <w:rPr>
          <w:rFonts w:ascii="Times New Roman" w:hAnsi="Times New Roman" w:cs="Times New Roman"/>
        </w:rPr>
      </w:pPr>
      <w:r w:rsidRPr="00330D46">
        <w:rPr>
          <w:rFonts w:ascii="Times New Roman" w:hAnsi="Times New Roman" w:cs="Times New Roman"/>
        </w:rPr>
        <w:t>Reduced working capital by refining inventory management of recyclable materials and streamlining receivables/payables cycles.</w:t>
      </w:r>
    </w:p>
    <w:p w14:paraId="290148C2" w14:textId="77777777" w:rsidR="00330D46" w:rsidRPr="00330D46" w:rsidRDefault="00330D46" w:rsidP="00330D46">
      <w:pPr>
        <w:pStyle w:val="NoSpacing"/>
        <w:ind w:left="720"/>
        <w:rPr>
          <w:rFonts w:ascii="Times New Roman" w:hAnsi="Times New Roman" w:cs="Times New Roman"/>
          <w:b/>
          <w:bCs/>
        </w:rPr>
      </w:pPr>
      <w:r w:rsidRPr="00330D46">
        <w:rPr>
          <w:rFonts w:ascii="Times New Roman" w:hAnsi="Times New Roman" w:cs="Times New Roman"/>
          <w:b/>
          <w:bCs/>
        </w:rPr>
        <w:t>Compliance, Risk Management &amp; Sustainability Reporting</w:t>
      </w:r>
    </w:p>
    <w:p w14:paraId="31510D0C" w14:textId="77777777" w:rsidR="00330D46" w:rsidRPr="00330D46" w:rsidRDefault="00330D46" w:rsidP="00330D46">
      <w:pPr>
        <w:pStyle w:val="NoSpacing"/>
        <w:numPr>
          <w:ilvl w:val="0"/>
          <w:numId w:val="54"/>
        </w:numPr>
        <w:rPr>
          <w:rFonts w:ascii="Times New Roman" w:hAnsi="Times New Roman" w:cs="Times New Roman"/>
        </w:rPr>
      </w:pPr>
      <w:r w:rsidRPr="00330D46">
        <w:rPr>
          <w:rFonts w:ascii="Times New Roman" w:hAnsi="Times New Roman" w:cs="Times New Roman"/>
        </w:rPr>
        <w:t>Ensured compliance with environmental regulations, hazardous waste handling rules, and reporting standards essential to recycling businesses.</w:t>
      </w:r>
    </w:p>
    <w:p w14:paraId="0D6E65A5" w14:textId="77777777" w:rsidR="00330D46" w:rsidRPr="00330D46" w:rsidRDefault="00330D46" w:rsidP="00330D46">
      <w:pPr>
        <w:pStyle w:val="NoSpacing"/>
        <w:numPr>
          <w:ilvl w:val="0"/>
          <w:numId w:val="54"/>
        </w:numPr>
        <w:rPr>
          <w:rFonts w:ascii="Times New Roman" w:hAnsi="Times New Roman" w:cs="Times New Roman"/>
        </w:rPr>
      </w:pPr>
      <w:r w:rsidRPr="00330D46">
        <w:rPr>
          <w:rFonts w:ascii="Times New Roman" w:hAnsi="Times New Roman" w:cs="Times New Roman"/>
        </w:rPr>
        <w:t>Developed risk mitigation strategies including insurance coverage for environmental liabilities and supply chain disruptions.</w:t>
      </w:r>
    </w:p>
    <w:p w14:paraId="5F3E2E13" w14:textId="77777777" w:rsidR="00330D46" w:rsidRPr="00330D46" w:rsidRDefault="00330D46" w:rsidP="00330D46">
      <w:pPr>
        <w:pStyle w:val="NoSpacing"/>
        <w:numPr>
          <w:ilvl w:val="0"/>
          <w:numId w:val="54"/>
        </w:numPr>
        <w:rPr>
          <w:rFonts w:ascii="Times New Roman" w:hAnsi="Times New Roman" w:cs="Times New Roman"/>
        </w:rPr>
      </w:pPr>
      <w:r w:rsidRPr="00330D46">
        <w:rPr>
          <w:rFonts w:ascii="Times New Roman" w:hAnsi="Times New Roman" w:cs="Times New Roman"/>
        </w:rPr>
        <w:t>Championed sustainability reporting to communicate environmental impact and operational efficiency to stakeholders.</w:t>
      </w:r>
    </w:p>
    <w:p w14:paraId="6F7A8583" w14:textId="77777777" w:rsidR="00330D46" w:rsidRPr="00330D46" w:rsidRDefault="00330D46" w:rsidP="00330D46">
      <w:pPr>
        <w:pStyle w:val="NoSpacing"/>
        <w:ind w:left="720"/>
        <w:rPr>
          <w:rFonts w:ascii="Times New Roman" w:hAnsi="Times New Roman" w:cs="Times New Roman"/>
          <w:b/>
          <w:bCs/>
        </w:rPr>
      </w:pPr>
      <w:r w:rsidRPr="00330D46">
        <w:rPr>
          <w:rFonts w:ascii="Times New Roman" w:hAnsi="Times New Roman" w:cs="Times New Roman"/>
          <w:b/>
          <w:bCs/>
        </w:rPr>
        <w:t>Capital Markets and Investor Relations</w:t>
      </w:r>
    </w:p>
    <w:p w14:paraId="4A60E109" w14:textId="77777777" w:rsidR="00330D46" w:rsidRPr="00330D46" w:rsidRDefault="00330D46" w:rsidP="00330D46">
      <w:pPr>
        <w:pStyle w:val="NoSpacing"/>
        <w:numPr>
          <w:ilvl w:val="0"/>
          <w:numId w:val="55"/>
        </w:numPr>
        <w:rPr>
          <w:rFonts w:ascii="Times New Roman" w:hAnsi="Times New Roman" w:cs="Times New Roman"/>
        </w:rPr>
      </w:pPr>
      <w:r w:rsidRPr="00330D46">
        <w:rPr>
          <w:rFonts w:ascii="Times New Roman" w:hAnsi="Times New Roman" w:cs="Times New Roman"/>
        </w:rPr>
        <w:t>Raised growth capital through private equity and debt financing to scale operations and fund acquisitions in emerging recycling sectors.</w:t>
      </w:r>
    </w:p>
    <w:p w14:paraId="01A5E639" w14:textId="77777777" w:rsidR="00330D46" w:rsidRPr="00330D46" w:rsidRDefault="00330D46" w:rsidP="00330D46">
      <w:pPr>
        <w:pStyle w:val="NoSpacing"/>
        <w:numPr>
          <w:ilvl w:val="0"/>
          <w:numId w:val="55"/>
        </w:numPr>
        <w:rPr>
          <w:rFonts w:ascii="Times New Roman" w:hAnsi="Times New Roman" w:cs="Times New Roman"/>
        </w:rPr>
      </w:pPr>
      <w:r w:rsidRPr="00330D46">
        <w:rPr>
          <w:rFonts w:ascii="Times New Roman" w:hAnsi="Times New Roman" w:cs="Times New Roman"/>
        </w:rPr>
        <w:lastRenderedPageBreak/>
        <w:t>Presented clear, data-driven financial insights to boards, investors, and community stakeholders to support company growth and transparency.</w:t>
      </w:r>
    </w:p>
    <w:p w14:paraId="547DC4EA" w14:textId="77777777" w:rsidR="00330D46" w:rsidRPr="00330D46" w:rsidRDefault="00330D46" w:rsidP="00330D46">
      <w:pPr>
        <w:pStyle w:val="NoSpacing"/>
        <w:numPr>
          <w:ilvl w:val="0"/>
          <w:numId w:val="55"/>
        </w:numPr>
        <w:rPr>
          <w:rFonts w:ascii="Times New Roman" w:hAnsi="Times New Roman" w:cs="Times New Roman"/>
        </w:rPr>
      </w:pPr>
      <w:r w:rsidRPr="00330D46">
        <w:rPr>
          <w:rFonts w:ascii="Times New Roman" w:hAnsi="Times New Roman" w:cs="Times New Roman"/>
        </w:rPr>
        <w:t>Directed M&amp;A financial due diligence and integration, expanding market share and adding complementary service lines.</w:t>
      </w:r>
    </w:p>
    <w:p w14:paraId="77F8254A" w14:textId="77777777" w:rsidR="00330D46" w:rsidRPr="00330D46" w:rsidRDefault="00330D46" w:rsidP="00330D46">
      <w:pPr>
        <w:pStyle w:val="NoSpacing"/>
        <w:ind w:left="360"/>
        <w:rPr>
          <w:rFonts w:ascii="Times New Roman" w:hAnsi="Times New Roman" w:cs="Times New Roman"/>
          <w:b/>
          <w:bCs/>
        </w:rPr>
      </w:pPr>
      <w:r w:rsidRPr="00330D46">
        <w:rPr>
          <w:rFonts w:ascii="Times New Roman" w:hAnsi="Times New Roman" w:cs="Times New Roman"/>
          <w:b/>
          <w:bCs/>
        </w:rPr>
        <w:t>Technology Integration and Team Leadership</w:t>
      </w:r>
    </w:p>
    <w:p w14:paraId="05BB7CDA" w14:textId="77777777" w:rsidR="00330D46" w:rsidRPr="00330D46" w:rsidRDefault="00330D46" w:rsidP="00330D46">
      <w:pPr>
        <w:pStyle w:val="NoSpacing"/>
        <w:numPr>
          <w:ilvl w:val="0"/>
          <w:numId w:val="56"/>
        </w:numPr>
        <w:rPr>
          <w:rFonts w:ascii="Times New Roman" w:hAnsi="Times New Roman" w:cs="Times New Roman"/>
        </w:rPr>
      </w:pPr>
      <w:r w:rsidRPr="00330D46">
        <w:rPr>
          <w:rFonts w:ascii="Times New Roman" w:hAnsi="Times New Roman" w:cs="Times New Roman"/>
        </w:rPr>
        <w:t>Led ERP and financial system implementations tailored for operational complexity unique to recycling flows and regulatory tracking.</w:t>
      </w:r>
    </w:p>
    <w:p w14:paraId="04B15924" w14:textId="77777777" w:rsidR="00330D46" w:rsidRPr="00330D46" w:rsidRDefault="00330D46" w:rsidP="00330D46">
      <w:pPr>
        <w:pStyle w:val="NoSpacing"/>
        <w:numPr>
          <w:ilvl w:val="0"/>
          <w:numId w:val="56"/>
        </w:numPr>
        <w:rPr>
          <w:rFonts w:ascii="Times New Roman" w:hAnsi="Times New Roman" w:cs="Times New Roman"/>
        </w:rPr>
      </w:pPr>
      <w:r w:rsidRPr="00330D46">
        <w:rPr>
          <w:rFonts w:ascii="Times New Roman" w:hAnsi="Times New Roman" w:cs="Times New Roman"/>
        </w:rPr>
        <w:t>Mentored finance teams in recycling industry accounting, compliance, and reporting best practices.</w:t>
      </w:r>
    </w:p>
    <w:p w14:paraId="22B5786C" w14:textId="77777777" w:rsidR="00330D46" w:rsidRPr="00330D46" w:rsidRDefault="00330D46" w:rsidP="00330D46">
      <w:pPr>
        <w:pStyle w:val="NoSpacing"/>
        <w:numPr>
          <w:ilvl w:val="0"/>
          <w:numId w:val="56"/>
        </w:numPr>
        <w:rPr>
          <w:rFonts w:ascii="Times New Roman" w:hAnsi="Times New Roman" w:cs="Times New Roman"/>
        </w:rPr>
      </w:pPr>
      <w:r w:rsidRPr="00330D46">
        <w:rPr>
          <w:rFonts w:ascii="Times New Roman" w:hAnsi="Times New Roman" w:cs="Times New Roman"/>
        </w:rPr>
        <w:t>Fostered collaboration between finance, operations, and sustainability teams to align financial and environmental goals.</w:t>
      </w:r>
    </w:p>
    <w:p w14:paraId="42343330" w14:textId="77777777" w:rsidR="00330D46" w:rsidRDefault="00330D46" w:rsidP="00330D46">
      <w:pPr>
        <w:pStyle w:val="NoSpacing"/>
        <w:rPr>
          <w:rFonts w:ascii="Times New Roman" w:hAnsi="Times New Roman" w:cs="Times New Roman"/>
        </w:rPr>
      </w:pPr>
    </w:p>
    <w:p w14:paraId="00FD6184" w14:textId="435F8312" w:rsidR="00330D46" w:rsidRPr="00330D46" w:rsidRDefault="00330D46" w:rsidP="00330D46">
      <w:pPr>
        <w:pStyle w:val="NoSpacing"/>
        <w:ind w:left="720"/>
        <w:rPr>
          <w:rFonts w:ascii="Times New Roman" w:hAnsi="Times New Roman" w:cs="Times New Roman"/>
          <w:b/>
          <w:bCs/>
        </w:rPr>
      </w:pPr>
      <w:r w:rsidRPr="00330D46">
        <w:rPr>
          <w:rFonts w:ascii="Times New Roman" w:hAnsi="Times New Roman" w:cs="Times New Roman"/>
          <w:b/>
          <w:bCs/>
        </w:rPr>
        <w:t>Key Items Ac</w:t>
      </w:r>
      <w:r w:rsidRPr="00330D46">
        <w:rPr>
          <w:rFonts w:ascii="Times New Roman" w:hAnsi="Times New Roman" w:cs="Times New Roman"/>
          <w:b/>
          <w:bCs/>
        </w:rPr>
        <w:t>hieved</w:t>
      </w:r>
    </w:p>
    <w:p w14:paraId="1392BCC7"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Develop financial forecasting and budgeting models incorporating commodity price volatility and regulatory impacts.</w:t>
      </w:r>
    </w:p>
    <w:p w14:paraId="7F60DE21"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Optimize working capital management by improving inventory tracking and tightening receivables/payables performance.</w:t>
      </w:r>
    </w:p>
    <w:p w14:paraId="42369A67"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Implement financial controls specific to recycling operations to reduce loss and fraud.</w:t>
      </w:r>
    </w:p>
    <w:p w14:paraId="43CE2DC5"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Lead capital allocation decisions to maximize ROI on automation and technology investments supporting sustainable growth.</w:t>
      </w:r>
    </w:p>
    <w:p w14:paraId="57BEBBED"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Ensure strict compliance with environmental, safety, and hazardous waste regulations to mitigate risk.</w:t>
      </w:r>
    </w:p>
    <w:p w14:paraId="4B3C5960"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Drive sustainability and ESG financial reporting to enhance transparency and support stakeholder engagement.</w:t>
      </w:r>
    </w:p>
    <w:p w14:paraId="653D8F64"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Secure funding for expansion through investor relations, debt financing, and strategic partnerships.</w:t>
      </w:r>
    </w:p>
    <w:p w14:paraId="05B2CF2A"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Manage M&amp;A lifecycle from financial diligence to integration to accelerate business growth.</w:t>
      </w:r>
    </w:p>
    <w:p w14:paraId="37C23DF3"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Integrate ERP systems to streamline financial reporting and support operational decision making.</w:t>
      </w:r>
    </w:p>
    <w:p w14:paraId="31CF55E4" w14:textId="77777777" w:rsidR="00330D46" w:rsidRPr="00330D46" w:rsidRDefault="00330D46" w:rsidP="00330D46">
      <w:pPr>
        <w:pStyle w:val="NoSpacing"/>
        <w:numPr>
          <w:ilvl w:val="0"/>
          <w:numId w:val="57"/>
        </w:numPr>
        <w:rPr>
          <w:rFonts w:ascii="Times New Roman" w:hAnsi="Times New Roman" w:cs="Times New Roman"/>
        </w:rPr>
      </w:pPr>
      <w:r w:rsidRPr="00330D46">
        <w:rPr>
          <w:rFonts w:ascii="Times New Roman" w:hAnsi="Times New Roman" w:cs="Times New Roman"/>
        </w:rPr>
        <w:t>Build finance teams with specialized understanding of recycling industry dynamics and compliance.</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5C21EA66" w14:textId="77777777" w:rsidR="00330D46" w:rsidRDefault="00330D46" w:rsidP="001C3E84">
      <w:pPr>
        <w:tabs>
          <w:tab w:val="right" w:pos="9720"/>
        </w:tabs>
        <w:spacing w:before="40" w:line="276" w:lineRule="auto"/>
        <w:rPr>
          <w:rFonts w:ascii="Times New Roman" w:hAnsi="Times New Roman" w:cs="Times New Roman"/>
          <w:iCs/>
          <w:spacing w:val="20"/>
        </w:rPr>
      </w:pPr>
    </w:p>
    <w:p w14:paraId="1896CE33" w14:textId="77777777" w:rsidR="00330D46" w:rsidRDefault="00330D46" w:rsidP="001C3E84">
      <w:pPr>
        <w:tabs>
          <w:tab w:val="right" w:pos="9720"/>
        </w:tabs>
        <w:spacing w:before="40" w:line="276" w:lineRule="auto"/>
        <w:rPr>
          <w:rFonts w:ascii="Times New Roman" w:hAnsi="Times New Roman" w:cs="Times New Roman"/>
          <w:iCs/>
          <w:spacing w:val="20"/>
        </w:rPr>
      </w:pPr>
    </w:p>
    <w:p w14:paraId="518AD9A8" w14:textId="77777777" w:rsidR="00330D46" w:rsidRDefault="00330D46" w:rsidP="001C3E84">
      <w:pPr>
        <w:tabs>
          <w:tab w:val="right" w:pos="9720"/>
        </w:tabs>
        <w:spacing w:before="40" w:line="276" w:lineRule="auto"/>
        <w:rPr>
          <w:rFonts w:ascii="Times New Roman" w:hAnsi="Times New Roman" w:cs="Times New Roman"/>
          <w:b/>
          <w:iCs/>
          <w:spacing w:val="20"/>
        </w:rPr>
      </w:pP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lastRenderedPageBreak/>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A761" w14:textId="77777777" w:rsidR="00F6415C" w:rsidRDefault="00F6415C" w:rsidP="008D4CE4">
      <w:r>
        <w:separator/>
      </w:r>
    </w:p>
  </w:endnote>
  <w:endnote w:type="continuationSeparator" w:id="0">
    <w:p w14:paraId="125876FA" w14:textId="77777777" w:rsidR="00F6415C" w:rsidRDefault="00F6415C"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EC7A" w14:textId="77777777" w:rsidR="00F6415C" w:rsidRDefault="00F6415C" w:rsidP="008D4CE4">
      <w:r>
        <w:separator/>
      </w:r>
    </w:p>
  </w:footnote>
  <w:footnote w:type="continuationSeparator" w:id="0">
    <w:p w14:paraId="4289944A" w14:textId="77777777" w:rsidR="00F6415C" w:rsidRDefault="00F6415C"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5D4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D4E6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DA27716"/>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35"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F32875"/>
    <w:multiLevelType w:val="multilevel"/>
    <w:tmpl w:val="856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D4102C"/>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CA4AE3"/>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2F66E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FA64F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867B2B"/>
    <w:multiLevelType w:val="multilevel"/>
    <w:tmpl w:val="CA78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34"/>
  </w:num>
  <w:num w:numId="2" w16cid:durableId="315687754">
    <w:abstractNumId w:val="15"/>
  </w:num>
  <w:num w:numId="3" w16cid:durableId="1311054472">
    <w:abstractNumId w:val="16"/>
  </w:num>
  <w:num w:numId="4" w16cid:durableId="481699622">
    <w:abstractNumId w:val="10"/>
  </w:num>
  <w:num w:numId="5" w16cid:durableId="724107415">
    <w:abstractNumId w:val="30"/>
  </w:num>
  <w:num w:numId="6" w16cid:durableId="371998550">
    <w:abstractNumId w:val="5"/>
  </w:num>
  <w:num w:numId="7" w16cid:durableId="314071278">
    <w:abstractNumId w:val="47"/>
  </w:num>
  <w:num w:numId="8" w16cid:durableId="335963737">
    <w:abstractNumId w:val="40"/>
  </w:num>
  <w:num w:numId="9" w16cid:durableId="912206754">
    <w:abstractNumId w:val="52"/>
  </w:num>
  <w:num w:numId="10" w16cid:durableId="1687437025">
    <w:abstractNumId w:val="22"/>
  </w:num>
  <w:num w:numId="11" w16cid:durableId="271596973">
    <w:abstractNumId w:val="20"/>
  </w:num>
  <w:num w:numId="12" w16cid:durableId="1284313859">
    <w:abstractNumId w:val="31"/>
  </w:num>
  <w:num w:numId="13" w16cid:durableId="1159730482">
    <w:abstractNumId w:val="25"/>
  </w:num>
  <w:num w:numId="14" w16cid:durableId="1157260956">
    <w:abstractNumId w:val="6"/>
  </w:num>
  <w:num w:numId="15" w16cid:durableId="892735751">
    <w:abstractNumId w:val="23"/>
  </w:num>
  <w:num w:numId="16" w16cid:durableId="964389522">
    <w:abstractNumId w:val="18"/>
  </w:num>
  <w:num w:numId="17" w16cid:durableId="204102838">
    <w:abstractNumId w:val="11"/>
  </w:num>
  <w:num w:numId="18" w16cid:durableId="1743526006">
    <w:abstractNumId w:val="35"/>
  </w:num>
  <w:num w:numId="19" w16cid:durableId="1378430804">
    <w:abstractNumId w:val="0"/>
  </w:num>
  <w:num w:numId="20" w16cid:durableId="1983192944">
    <w:abstractNumId w:val="54"/>
  </w:num>
  <w:num w:numId="21" w16cid:durableId="657001383">
    <w:abstractNumId w:val="42"/>
  </w:num>
  <w:num w:numId="22" w16cid:durableId="1469398798">
    <w:abstractNumId w:val="26"/>
  </w:num>
  <w:num w:numId="23" w16cid:durableId="709574213">
    <w:abstractNumId w:val="14"/>
  </w:num>
  <w:num w:numId="24" w16cid:durableId="1572351764">
    <w:abstractNumId w:val="43"/>
  </w:num>
  <w:num w:numId="25" w16cid:durableId="1680542650">
    <w:abstractNumId w:val="1"/>
  </w:num>
  <w:num w:numId="26" w16cid:durableId="980037143">
    <w:abstractNumId w:val="45"/>
  </w:num>
  <w:num w:numId="27" w16cid:durableId="1894459764">
    <w:abstractNumId w:val="50"/>
  </w:num>
  <w:num w:numId="28" w16cid:durableId="142548037">
    <w:abstractNumId w:val="33"/>
  </w:num>
  <w:num w:numId="29" w16cid:durableId="269554479">
    <w:abstractNumId w:val="21"/>
  </w:num>
  <w:num w:numId="30" w16cid:durableId="1231160847">
    <w:abstractNumId w:val="19"/>
  </w:num>
  <w:num w:numId="31" w16cid:durableId="524712679">
    <w:abstractNumId w:val="32"/>
  </w:num>
  <w:num w:numId="32" w16cid:durableId="1757701895">
    <w:abstractNumId w:val="29"/>
  </w:num>
  <w:num w:numId="33" w16cid:durableId="820542530">
    <w:abstractNumId w:val="37"/>
  </w:num>
  <w:num w:numId="34" w16cid:durableId="100298284">
    <w:abstractNumId w:val="39"/>
  </w:num>
  <w:num w:numId="35" w16cid:durableId="90200867">
    <w:abstractNumId w:val="3"/>
  </w:num>
  <w:num w:numId="36" w16cid:durableId="1195339500">
    <w:abstractNumId w:val="13"/>
  </w:num>
  <w:num w:numId="37" w16cid:durableId="187566161">
    <w:abstractNumId w:val="7"/>
  </w:num>
  <w:num w:numId="38" w16cid:durableId="872310521">
    <w:abstractNumId w:val="12"/>
  </w:num>
  <w:num w:numId="39" w16cid:durableId="1163592026">
    <w:abstractNumId w:val="28"/>
  </w:num>
  <w:num w:numId="40" w16cid:durableId="1191407939">
    <w:abstractNumId w:val="55"/>
  </w:num>
  <w:num w:numId="41" w16cid:durableId="1410345066">
    <w:abstractNumId w:val="48"/>
  </w:num>
  <w:num w:numId="42" w16cid:durableId="656686030">
    <w:abstractNumId w:val="53"/>
  </w:num>
  <w:num w:numId="43" w16cid:durableId="263921775">
    <w:abstractNumId w:val="2"/>
  </w:num>
  <w:num w:numId="44" w16cid:durableId="1154368848">
    <w:abstractNumId w:val="38"/>
  </w:num>
  <w:num w:numId="45" w16cid:durableId="1450516909">
    <w:abstractNumId w:val="17"/>
  </w:num>
  <w:num w:numId="46" w16cid:durableId="488136758">
    <w:abstractNumId w:val="27"/>
  </w:num>
  <w:num w:numId="47" w16cid:durableId="606040363">
    <w:abstractNumId w:val="36"/>
  </w:num>
  <w:num w:numId="48" w16cid:durableId="11760689">
    <w:abstractNumId w:val="24"/>
  </w:num>
  <w:num w:numId="49" w16cid:durableId="992874562">
    <w:abstractNumId w:val="4"/>
  </w:num>
  <w:num w:numId="50" w16cid:durableId="758018568">
    <w:abstractNumId w:val="41"/>
  </w:num>
  <w:num w:numId="51" w16cid:durableId="149753212">
    <w:abstractNumId w:val="56"/>
  </w:num>
  <w:num w:numId="52" w16cid:durableId="1381438904">
    <w:abstractNumId w:val="44"/>
  </w:num>
  <w:num w:numId="53" w16cid:durableId="2029020650">
    <w:abstractNumId w:val="8"/>
  </w:num>
  <w:num w:numId="54" w16cid:durableId="2049448153">
    <w:abstractNumId w:val="51"/>
  </w:num>
  <w:num w:numId="55" w16cid:durableId="1510676527">
    <w:abstractNumId w:val="49"/>
  </w:num>
  <w:num w:numId="56" w16cid:durableId="323709132">
    <w:abstractNumId w:val="9"/>
  </w:num>
  <w:num w:numId="57" w16cid:durableId="2700882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3BE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0D46"/>
    <w:rsid w:val="0033296C"/>
    <w:rsid w:val="00332A17"/>
    <w:rsid w:val="0033493D"/>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23BF"/>
    <w:rsid w:val="005D291A"/>
    <w:rsid w:val="005D458C"/>
    <w:rsid w:val="005D6ECB"/>
    <w:rsid w:val="005E117A"/>
    <w:rsid w:val="005E1E1E"/>
    <w:rsid w:val="005E2EA9"/>
    <w:rsid w:val="005E6B1D"/>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15C"/>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796</Words>
  <Characters>5657</Characters>
  <Application>Microsoft Office Word</Application>
  <DocSecurity>0</DocSecurity>
  <Lines>115</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2025-08-09T19:55:00Z</cp:lastPrinted>
  <dcterms:created xsi:type="dcterms:W3CDTF">2025-08-09T20:06:00Z</dcterms:created>
  <dcterms:modified xsi:type="dcterms:W3CDTF">2025-08-09T20:15:00Z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